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32AD5" w14:textId="59949CB5" w:rsidR="00772AAE" w:rsidRDefault="00772AAE" w:rsidP="0017629B">
      <w:pPr>
        <w:spacing w:after="0" w:line="240" w:lineRule="auto"/>
        <w:rPr>
          <w:rFonts w:ascii="FedEx Sans" w:hAnsi="FedEx Sans" w:cs="FedEx Sans"/>
          <w:b/>
          <w:bCs/>
          <w:color w:val="7030A0"/>
          <w:sz w:val="28"/>
          <w:szCs w:val="28"/>
        </w:rPr>
      </w:pPr>
      <w:r w:rsidRPr="00772AAE">
        <w:rPr>
          <w:rFonts w:ascii="FedEx Sans" w:hAnsi="FedEx Sans" w:cs="FedEx Sans"/>
          <w:b/>
          <w:bCs/>
          <w:color w:val="7030A0"/>
          <w:sz w:val="28"/>
          <w:szCs w:val="28"/>
        </w:rPr>
        <w:t>FedEx Ground® Economy Outbound Service Claims Guidelines</w:t>
      </w:r>
    </w:p>
    <w:p w14:paraId="57C1922B" w14:textId="77777777" w:rsidR="00772AAE" w:rsidRPr="00772AAE" w:rsidRDefault="00772AAE" w:rsidP="00612B6C">
      <w:pPr>
        <w:spacing w:after="120" w:line="240" w:lineRule="auto"/>
        <w:rPr>
          <w:rFonts w:ascii="FedEx Sans" w:hAnsi="FedEx Sans"/>
          <w:b/>
          <w:bCs/>
          <w:color w:val="A6A6A6" w:themeColor="background1" w:themeShade="A6"/>
        </w:rPr>
      </w:pPr>
      <w:r w:rsidRPr="00772AAE">
        <w:rPr>
          <w:rFonts w:ascii="FedEx Sans" w:hAnsi="FedEx Sans"/>
          <w:b/>
          <w:bCs/>
          <w:color w:val="A6A6A6" w:themeColor="background1" w:themeShade="A6"/>
        </w:rPr>
        <w:t>___________________________________________________________________________________________</w:t>
      </w:r>
    </w:p>
    <w:p w14:paraId="7D3CED52" w14:textId="356C0AD9" w:rsidR="00EE25F8" w:rsidRDefault="00772AAE" w:rsidP="00EE25F8">
      <w:pPr>
        <w:spacing w:after="120" w:line="240" w:lineRule="auto"/>
        <w:rPr>
          <w:rFonts w:ascii="FedEx Sans" w:hAnsi="FedEx Sans"/>
        </w:rPr>
      </w:pPr>
      <w:r w:rsidRPr="00612B6C">
        <w:rPr>
          <w:rFonts w:ascii="FedEx Sans" w:hAnsi="FedEx Sans"/>
        </w:rPr>
        <w:t xml:space="preserve">FedEx Ground Economy will allow claims for packages that are lost or damaged while under </w:t>
      </w:r>
      <w:r w:rsidRPr="00772AAE">
        <w:rPr>
          <w:rFonts w:ascii="FedEx Sans" w:hAnsi="FedEx Sans"/>
        </w:rPr>
        <w:t>FedEx custody. Claims must be filed within 90 days of physical entry into the FedEx network. FedEx Ground Economy is not a guaranteed service and therefore cannot cover claims outside of the FedEx</w:t>
      </w:r>
      <w:r>
        <w:rPr>
          <w:rFonts w:ascii="FedEx Sans" w:hAnsi="FedEx Sans"/>
        </w:rPr>
        <w:t xml:space="preserve"> </w:t>
      </w:r>
      <w:r w:rsidRPr="00772AAE">
        <w:rPr>
          <w:rFonts w:ascii="FedEx Sans" w:hAnsi="FedEx Sans"/>
        </w:rPr>
        <w:t>network.</w:t>
      </w:r>
      <w:r>
        <w:rPr>
          <w:rFonts w:ascii="FedEx Sans" w:hAnsi="FedEx Sans"/>
        </w:rPr>
        <w:t xml:space="preserve"> </w:t>
      </w:r>
    </w:p>
    <w:p w14:paraId="3208EAEE" w14:textId="3D4D276D" w:rsidR="00772AAE" w:rsidRPr="00772AAE" w:rsidRDefault="00772AAE" w:rsidP="00EE25F8">
      <w:pPr>
        <w:spacing w:after="0" w:line="240" w:lineRule="auto"/>
        <w:rPr>
          <w:rFonts w:ascii="FedEx Sans" w:hAnsi="FedEx Sans"/>
        </w:rPr>
      </w:pPr>
      <w:r w:rsidRPr="00772AAE">
        <w:rPr>
          <w:rFonts w:ascii="FedEx Sans" w:hAnsi="FedEx Sans"/>
        </w:rPr>
        <w:t>FedEx Ground Economy is responsible for the package while in the FedEx network. FedEx custody begins when the package is physically scanned at a FedEx location. FedEx custody ends when</w:t>
      </w:r>
      <w:r>
        <w:rPr>
          <w:rFonts w:ascii="FedEx Sans" w:hAnsi="FedEx Sans"/>
        </w:rPr>
        <w:t xml:space="preserve"> </w:t>
      </w:r>
      <w:r w:rsidRPr="00772AAE">
        <w:rPr>
          <w:rFonts w:ascii="FedEx Sans" w:hAnsi="FedEx Sans"/>
        </w:rPr>
        <w:t xml:space="preserve">there is a delivery event that </w:t>
      </w:r>
      <w:r w:rsidR="0086123A" w:rsidRPr="00772AAE">
        <w:rPr>
          <w:rFonts w:ascii="FedEx Sans" w:hAnsi="FedEx Sans"/>
        </w:rPr>
        <w:t>shows</w:t>
      </w:r>
      <w:r w:rsidRPr="00772AAE">
        <w:rPr>
          <w:rFonts w:ascii="FedEx Sans" w:hAnsi="FedEx Sans"/>
        </w:rPr>
        <w:t xml:space="preserve"> the package was </w:t>
      </w:r>
      <w:r w:rsidR="001E2B61">
        <w:rPr>
          <w:rFonts w:ascii="FedEx Sans" w:hAnsi="FedEx Sans"/>
        </w:rPr>
        <w:t>delivered</w:t>
      </w:r>
      <w:r w:rsidRPr="00772AAE">
        <w:rPr>
          <w:rFonts w:ascii="FedEx Sans" w:hAnsi="FedEx Sans"/>
        </w:rPr>
        <w:t xml:space="preserve"> to the </w:t>
      </w:r>
      <w:r w:rsidR="001E2B61">
        <w:rPr>
          <w:rFonts w:ascii="FedEx Sans" w:hAnsi="FedEx Sans"/>
        </w:rPr>
        <w:t>recipient</w:t>
      </w:r>
      <w:r w:rsidRPr="00772AAE">
        <w:rPr>
          <w:rFonts w:ascii="FedEx Sans" w:hAnsi="FedEx Sans"/>
        </w:rPr>
        <w:t>.</w:t>
      </w:r>
      <w:r>
        <w:rPr>
          <w:rFonts w:ascii="FedEx Sans" w:hAnsi="FedEx Sans"/>
        </w:rPr>
        <w:t xml:space="preserve"> </w:t>
      </w:r>
      <w:r w:rsidRPr="00772AAE">
        <w:rPr>
          <w:rFonts w:ascii="FedEx Sans" w:hAnsi="FedEx Sans"/>
        </w:rPr>
        <w:t>When a claim is filed and approved, the wholesale cost will be reimbursed up to the limit of $100</w:t>
      </w:r>
      <w:r>
        <w:rPr>
          <w:rFonts w:ascii="FedEx Sans" w:hAnsi="FedEx Sans"/>
        </w:rPr>
        <w:t xml:space="preserve"> </w:t>
      </w:r>
      <w:r w:rsidRPr="00772AAE">
        <w:rPr>
          <w:rFonts w:ascii="FedEx Sans" w:hAnsi="FedEx Sans"/>
        </w:rPr>
        <w:t xml:space="preserve">per </w:t>
      </w:r>
      <w:bookmarkStart w:id="0" w:name="_Hlk134456945"/>
      <w:r w:rsidRPr="00772AAE">
        <w:rPr>
          <w:rFonts w:ascii="FedEx Sans" w:hAnsi="FedEx Sans"/>
        </w:rPr>
        <w:t xml:space="preserve">package plus any </w:t>
      </w:r>
      <w:r w:rsidR="00612B6C" w:rsidRPr="00772AAE">
        <w:rPr>
          <w:rFonts w:ascii="FedEx Sans" w:hAnsi="FedEx Sans"/>
        </w:rPr>
        <w:t xml:space="preserve">invoiced </w:t>
      </w:r>
      <w:r w:rsidRPr="00772AAE">
        <w:rPr>
          <w:rFonts w:ascii="FedEx Sans" w:hAnsi="FedEx Sans"/>
        </w:rPr>
        <w:t xml:space="preserve">shipping </w:t>
      </w:r>
      <w:r w:rsidR="00612B6C">
        <w:rPr>
          <w:rFonts w:ascii="FedEx Sans" w:hAnsi="FedEx Sans"/>
        </w:rPr>
        <w:t>charges.</w:t>
      </w:r>
      <w:bookmarkEnd w:id="0"/>
    </w:p>
    <w:p w14:paraId="278BD4BA" w14:textId="274CC4A7" w:rsidR="00772AAE" w:rsidRPr="00772AAE" w:rsidRDefault="00772AAE" w:rsidP="00612B6C">
      <w:pPr>
        <w:spacing w:after="120" w:line="240" w:lineRule="auto"/>
        <w:rPr>
          <w:rFonts w:ascii="FedEx Sans" w:hAnsi="FedEx Sans"/>
          <w:b/>
          <w:bCs/>
          <w:color w:val="A6A6A6" w:themeColor="background1" w:themeShade="A6"/>
        </w:rPr>
      </w:pPr>
      <w:r w:rsidRPr="00772AAE">
        <w:rPr>
          <w:rFonts w:ascii="FedEx Sans" w:hAnsi="FedEx Sans"/>
          <w:b/>
          <w:bCs/>
          <w:color w:val="A6A6A6" w:themeColor="background1" w:themeShade="A6"/>
        </w:rPr>
        <w:t>___________________________________________________________________________________________</w:t>
      </w:r>
    </w:p>
    <w:p w14:paraId="1B297239" w14:textId="223D5FAB" w:rsidR="00772AAE" w:rsidRPr="00772AAE" w:rsidRDefault="00772AAE" w:rsidP="0017629B">
      <w:pPr>
        <w:spacing w:after="120"/>
        <w:rPr>
          <w:rFonts w:ascii="FedEx Sans" w:hAnsi="FedEx Sans"/>
          <w:b/>
          <w:bCs/>
          <w:sz w:val="28"/>
          <w:szCs w:val="28"/>
        </w:rPr>
      </w:pPr>
      <w:r w:rsidRPr="00772AAE">
        <w:rPr>
          <w:rFonts w:ascii="FedEx Sans" w:hAnsi="FedEx Sans"/>
          <w:b/>
          <w:bCs/>
          <w:sz w:val="28"/>
          <w:szCs w:val="28"/>
        </w:rPr>
        <w:t>Exceptions</w:t>
      </w:r>
    </w:p>
    <w:p w14:paraId="200FAC4E" w14:textId="77777777" w:rsidR="00772AAE" w:rsidRPr="00772AAE" w:rsidRDefault="00772AAE" w:rsidP="00612B6C">
      <w:pPr>
        <w:spacing w:after="120" w:line="240" w:lineRule="auto"/>
        <w:rPr>
          <w:rFonts w:ascii="FedEx Sans" w:hAnsi="FedEx Sans"/>
        </w:rPr>
      </w:pPr>
      <w:r w:rsidRPr="00772AAE">
        <w:rPr>
          <w:rFonts w:ascii="FedEx Sans" w:hAnsi="FedEx Sans"/>
        </w:rPr>
        <w:t>FedEx Ground Economy will not reimburse for the following costs:</w:t>
      </w:r>
    </w:p>
    <w:p w14:paraId="1451FDA3" w14:textId="6F622831" w:rsidR="00772AAE" w:rsidRPr="00772AAE" w:rsidRDefault="00772AAE" w:rsidP="00772AAE">
      <w:pPr>
        <w:pStyle w:val="ListParagraph"/>
        <w:numPr>
          <w:ilvl w:val="0"/>
          <w:numId w:val="2"/>
        </w:numPr>
        <w:rPr>
          <w:rFonts w:ascii="FedEx Sans" w:hAnsi="FedEx Sans"/>
        </w:rPr>
      </w:pPr>
      <w:r w:rsidRPr="00772AAE">
        <w:rPr>
          <w:rFonts w:ascii="FedEx Sans" w:hAnsi="FedEx Sans"/>
        </w:rPr>
        <w:t>Reshipping of damaged or lost packages</w:t>
      </w:r>
    </w:p>
    <w:p w14:paraId="287C0CC4" w14:textId="539DDA7D" w:rsidR="00772AAE" w:rsidRPr="00772AAE" w:rsidRDefault="00772AAE" w:rsidP="00772AAE">
      <w:pPr>
        <w:pStyle w:val="ListParagraph"/>
        <w:numPr>
          <w:ilvl w:val="0"/>
          <w:numId w:val="2"/>
        </w:numPr>
        <w:rPr>
          <w:rFonts w:ascii="FedEx Sans" w:hAnsi="FedEx Sans"/>
        </w:rPr>
      </w:pPr>
      <w:r w:rsidRPr="00772AAE">
        <w:rPr>
          <w:rFonts w:ascii="FedEx Sans" w:hAnsi="FedEx Sans"/>
        </w:rPr>
        <w:t>Leaking and/or damaged packages due to defective packaging</w:t>
      </w:r>
    </w:p>
    <w:p w14:paraId="3A0277AC" w14:textId="1376BFB8" w:rsidR="00772AAE" w:rsidRPr="00772AAE" w:rsidRDefault="00772AAE" w:rsidP="00772AAE">
      <w:pPr>
        <w:pStyle w:val="ListParagraph"/>
        <w:numPr>
          <w:ilvl w:val="0"/>
          <w:numId w:val="2"/>
        </w:numPr>
        <w:rPr>
          <w:rFonts w:ascii="FedEx Sans" w:hAnsi="FedEx Sans"/>
        </w:rPr>
      </w:pPr>
      <w:r w:rsidRPr="00772AAE">
        <w:rPr>
          <w:rFonts w:ascii="FedEx Sans" w:hAnsi="FedEx Sans"/>
        </w:rPr>
        <w:t>Any type of expedited services</w:t>
      </w:r>
    </w:p>
    <w:p w14:paraId="0BB5CB5E" w14:textId="64E65EDC" w:rsidR="00772AAE" w:rsidRPr="00772AAE" w:rsidRDefault="00772AAE" w:rsidP="00772AAE">
      <w:pPr>
        <w:pStyle w:val="ListParagraph"/>
        <w:numPr>
          <w:ilvl w:val="0"/>
          <w:numId w:val="2"/>
        </w:numPr>
        <w:rPr>
          <w:rFonts w:ascii="FedEx Sans" w:hAnsi="FedEx Sans"/>
        </w:rPr>
      </w:pPr>
      <w:r w:rsidRPr="00772AAE">
        <w:rPr>
          <w:rFonts w:ascii="FedEx Sans" w:hAnsi="FedEx Sans"/>
        </w:rPr>
        <w:t>Packages delivered by the USPS that are damaged</w:t>
      </w:r>
    </w:p>
    <w:p w14:paraId="58478C5F" w14:textId="16C320A5" w:rsidR="00772AAE" w:rsidRPr="00772AAE" w:rsidRDefault="00772AAE" w:rsidP="00772AAE">
      <w:pPr>
        <w:pStyle w:val="ListParagraph"/>
        <w:numPr>
          <w:ilvl w:val="0"/>
          <w:numId w:val="2"/>
        </w:numPr>
        <w:rPr>
          <w:rFonts w:ascii="FedEx Sans" w:hAnsi="FedEx Sans"/>
        </w:rPr>
      </w:pPr>
      <w:r w:rsidRPr="00772AAE">
        <w:rPr>
          <w:rFonts w:ascii="FedEx Sans" w:hAnsi="FedEx Sans"/>
        </w:rPr>
        <w:t>Fulfillment costs</w:t>
      </w:r>
    </w:p>
    <w:p w14:paraId="4BE0ED55" w14:textId="16FA7DF6" w:rsidR="00772AAE" w:rsidRPr="00772AAE" w:rsidRDefault="00772AAE" w:rsidP="00772AAE">
      <w:pPr>
        <w:pStyle w:val="ListParagraph"/>
        <w:numPr>
          <w:ilvl w:val="0"/>
          <w:numId w:val="2"/>
        </w:numPr>
        <w:rPr>
          <w:rFonts w:ascii="FedEx Sans" w:hAnsi="FedEx Sans"/>
        </w:rPr>
      </w:pPr>
      <w:r w:rsidRPr="00772AAE">
        <w:rPr>
          <w:rFonts w:ascii="FedEx Sans" w:hAnsi="FedEx Sans"/>
        </w:rPr>
        <w:t>Packages damaged on a trailer where the customer arranged transportation</w:t>
      </w:r>
    </w:p>
    <w:p w14:paraId="0EFDA109" w14:textId="7E6F21C5" w:rsidR="00772AAE" w:rsidRPr="00772AAE" w:rsidRDefault="00772AAE" w:rsidP="00772AAE">
      <w:pPr>
        <w:pStyle w:val="ListParagraph"/>
        <w:numPr>
          <w:ilvl w:val="0"/>
          <w:numId w:val="2"/>
        </w:numPr>
        <w:rPr>
          <w:rFonts w:ascii="FedEx Sans" w:hAnsi="FedEx Sans"/>
        </w:rPr>
      </w:pPr>
      <w:r w:rsidRPr="00772AAE">
        <w:rPr>
          <w:rFonts w:ascii="FedEx Sans" w:hAnsi="FedEx Sans"/>
        </w:rPr>
        <w:t>Packages damaged due to careless or unstable loading by customer/fulfillment center</w:t>
      </w:r>
    </w:p>
    <w:p w14:paraId="331790DD" w14:textId="78193A5D" w:rsidR="00772AAE" w:rsidRDefault="00772AAE" w:rsidP="0017629B">
      <w:pPr>
        <w:pStyle w:val="ListParagraph"/>
        <w:numPr>
          <w:ilvl w:val="0"/>
          <w:numId w:val="2"/>
        </w:numPr>
        <w:spacing w:after="0" w:line="240" w:lineRule="auto"/>
        <w:rPr>
          <w:rFonts w:ascii="FedEx Sans" w:hAnsi="FedEx Sans"/>
        </w:rPr>
      </w:pPr>
      <w:r w:rsidRPr="00772AAE">
        <w:rPr>
          <w:rFonts w:ascii="FedEx Sans" w:hAnsi="FedEx Sans"/>
        </w:rPr>
        <w:t>Spoilage on perishable packages</w:t>
      </w:r>
    </w:p>
    <w:p w14:paraId="28A472F2" w14:textId="1707D34F" w:rsidR="00772AAE" w:rsidRPr="00772AAE" w:rsidRDefault="00772AAE" w:rsidP="00EE25F8">
      <w:pPr>
        <w:spacing w:after="120" w:line="240" w:lineRule="auto"/>
        <w:rPr>
          <w:rFonts w:ascii="FedEx Sans" w:hAnsi="FedEx Sans"/>
          <w:b/>
          <w:bCs/>
          <w:color w:val="A6A6A6" w:themeColor="background1" w:themeShade="A6"/>
        </w:rPr>
      </w:pPr>
      <w:r w:rsidRPr="00772AAE">
        <w:rPr>
          <w:rFonts w:ascii="FedEx Sans" w:hAnsi="FedEx Sans"/>
          <w:b/>
          <w:bCs/>
          <w:color w:val="A6A6A6" w:themeColor="background1" w:themeShade="A6"/>
        </w:rPr>
        <w:t>___________________________________________________________________________________________</w:t>
      </w:r>
    </w:p>
    <w:p w14:paraId="2A1D49C6" w14:textId="5D1C7AEB" w:rsidR="00772AAE" w:rsidRPr="00772AAE" w:rsidRDefault="00772AAE" w:rsidP="0017629B">
      <w:pPr>
        <w:spacing w:after="120"/>
        <w:rPr>
          <w:rFonts w:ascii="FedEx Sans" w:hAnsi="FedEx Sans"/>
          <w:b/>
          <w:bCs/>
          <w:sz w:val="28"/>
          <w:szCs w:val="28"/>
        </w:rPr>
      </w:pPr>
      <w:r w:rsidRPr="00772AAE">
        <w:rPr>
          <w:rFonts w:ascii="FedEx Sans" w:hAnsi="FedEx Sans"/>
          <w:b/>
          <w:bCs/>
          <w:sz w:val="28"/>
          <w:szCs w:val="28"/>
        </w:rPr>
        <w:t>Supporting Documentation Requirements</w:t>
      </w:r>
    </w:p>
    <w:p w14:paraId="40A40274" w14:textId="77777777" w:rsidR="00772AAE" w:rsidRPr="00772AAE" w:rsidRDefault="00772AAE" w:rsidP="0017629B">
      <w:pPr>
        <w:spacing w:after="0"/>
        <w:rPr>
          <w:rFonts w:ascii="FedEx Sans" w:hAnsi="FedEx Sans"/>
        </w:rPr>
      </w:pPr>
      <w:r w:rsidRPr="00772AAE">
        <w:rPr>
          <w:rFonts w:ascii="FedEx Sans" w:hAnsi="FedEx Sans"/>
        </w:rPr>
        <w:t>Each claim requires the following documentation to be eligible for payment:</w:t>
      </w:r>
    </w:p>
    <w:p w14:paraId="1EBE91C0" w14:textId="470E81F4" w:rsidR="00612B6C" w:rsidRPr="008D2148" w:rsidRDefault="008D2148" w:rsidP="008D2148">
      <w:pPr>
        <w:pStyle w:val="ListParagraph"/>
        <w:numPr>
          <w:ilvl w:val="0"/>
          <w:numId w:val="4"/>
        </w:numPr>
        <w:spacing w:before="160" w:after="0" w:line="240" w:lineRule="auto"/>
        <w:rPr>
          <w:rFonts w:ascii="FedEx Sans" w:hAnsi="FedEx Sans"/>
        </w:rPr>
      </w:pPr>
      <w:hyperlink r:id="rId8" w:history="1">
        <w:r w:rsidR="00772AAE" w:rsidRPr="008D2148">
          <w:rPr>
            <w:rStyle w:val="Hyperlink"/>
            <w:rFonts w:ascii="FedEx Sans" w:hAnsi="FedEx Sans"/>
          </w:rPr>
          <w:t>FedEx Ground Economy Claim Form</w:t>
        </w:r>
      </w:hyperlink>
      <w:r w:rsidR="00772AAE" w:rsidRPr="008039B7">
        <w:rPr>
          <w:rFonts w:ascii="FedEx Sans" w:hAnsi="FedEx Sans"/>
          <w:color w:val="0070C0"/>
        </w:rPr>
        <w:t xml:space="preserve"> </w:t>
      </w:r>
    </w:p>
    <w:p w14:paraId="0E472430" w14:textId="3462CA1E" w:rsidR="008D2148" w:rsidRPr="008D2148" w:rsidRDefault="008D2148" w:rsidP="008D2148">
      <w:pPr>
        <w:pStyle w:val="ListParagraph"/>
        <w:numPr>
          <w:ilvl w:val="0"/>
          <w:numId w:val="4"/>
        </w:numPr>
        <w:spacing w:before="160" w:after="0" w:line="240" w:lineRule="auto"/>
        <w:rPr>
          <w:rFonts w:ascii="FedEx Sans" w:hAnsi="FedEx Sans"/>
        </w:rPr>
      </w:pPr>
      <w:hyperlink r:id="rId9" w:history="1">
        <w:r w:rsidRPr="008D2148">
          <w:rPr>
            <w:rStyle w:val="Hyperlink"/>
            <w:rFonts w:ascii="FedEx Sans" w:hAnsi="FedEx Sans"/>
          </w:rPr>
          <w:t>FedEx Ground Economy Claim Form – Help Guide</w:t>
        </w:r>
      </w:hyperlink>
      <w:r>
        <w:rPr>
          <w:rFonts w:ascii="FedEx Sans" w:hAnsi="FedEx Sans"/>
          <w:color w:val="0070C0"/>
        </w:rPr>
        <w:t xml:space="preserve"> </w:t>
      </w:r>
    </w:p>
    <w:p w14:paraId="15B05B0E" w14:textId="77777777" w:rsidR="008D2148" w:rsidRPr="008D2148" w:rsidRDefault="008D2148" w:rsidP="008D2148">
      <w:pPr>
        <w:pStyle w:val="ListParagraph"/>
        <w:spacing w:before="160" w:after="0" w:line="240" w:lineRule="auto"/>
        <w:rPr>
          <w:rFonts w:ascii="FedEx Sans" w:hAnsi="FedEx Sans"/>
        </w:rPr>
      </w:pPr>
    </w:p>
    <w:p w14:paraId="0FEA25A1" w14:textId="77777777" w:rsidR="00612B6C" w:rsidRDefault="00612B6C" w:rsidP="00612B6C">
      <w:pPr>
        <w:spacing w:after="0" w:line="240" w:lineRule="auto"/>
        <w:rPr>
          <w:rFonts w:ascii="FedEx Sans" w:hAnsi="FedEx Sans"/>
        </w:rPr>
      </w:pPr>
      <w:r w:rsidRPr="00C4165E">
        <w:rPr>
          <w:rFonts w:ascii="FedEx Sans" w:hAnsi="FedEx Sans"/>
        </w:rPr>
        <w:t xml:space="preserve">The completed form or template should be sent in a new email to </w:t>
      </w:r>
      <w:hyperlink r:id="rId10" w:history="1">
        <w:r w:rsidRPr="00C4165E">
          <w:rPr>
            <w:rFonts w:ascii="FedEx Sans" w:hAnsi="FedEx Sans"/>
          </w:rPr>
          <w:t>FGEClaims@FedEx.com</w:t>
        </w:r>
      </w:hyperlink>
      <w:r>
        <w:rPr>
          <w:rFonts w:ascii="FedEx Sans" w:hAnsi="FedEx Sans"/>
        </w:rPr>
        <w:t xml:space="preserve">. </w:t>
      </w:r>
    </w:p>
    <w:p w14:paraId="5A5FC196" w14:textId="38D6AC85" w:rsidR="00612B6C" w:rsidRPr="00612B6C" w:rsidRDefault="00612B6C" w:rsidP="00612B6C">
      <w:pPr>
        <w:spacing w:after="0" w:line="240" w:lineRule="auto"/>
        <w:rPr>
          <w:rFonts w:ascii="FedEx Sans" w:hAnsi="FedEx Sans"/>
        </w:rPr>
      </w:pPr>
      <w:r>
        <w:rPr>
          <w:rFonts w:ascii="FedEx Sans" w:hAnsi="FedEx Sans"/>
        </w:rPr>
        <w:t>Do not reply to a previously sent email.</w:t>
      </w:r>
    </w:p>
    <w:p w14:paraId="22F27B88" w14:textId="3DF77C13" w:rsidR="00772AAE" w:rsidRPr="00612B6C" w:rsidRDefault="00772AAE" w:rsidP="00EE25F8">
      <w:pPr>
        <w:spacing w:after="120" w:line="240" w:lineRule="auto"/>
        <w:rPr>
          <w:rFonts w:ascii="FedEx Sans" w:hAnsi="FedEx Sans"/>
          <w:b/>
          <w:bCs/>
          <w:color w:val="A6A6A6" w:themeColor="background1" w:themeShade="A6"/>
        </w:rPr>
      </w:pPr>
      <w:r w:rsidRPr="00612B6C">
        <w:rPr>
          <w:rFonts w:ascii="FedEx Sans" w:hAnsi="FedEx Sans"/>
          <w:b/>
          <w:bCs/>
          <w:color w:val="A6A6A6" w:themeColor="background1" w:themeShade="A6"/>
        </w:rPr>
        <w:t>___________________________________________________________________________________________</w:t>
      </w:r>
    </w:p>
    <w:p w14:paraId="0190347D" w14:textId="77777777" w:rsidR="00772AAE" w:rsidRPr="00772AAE" w:rsidRDefault="00772AAE" w:rsidP="0017629B">
      <w:pPr>
        <w:spacing w:after="120"/>
        <w:rPr>
          <w:rFonts w:ascii="FedEx Sans" w:hAnsi="FedEx Sans"/>
          <w:b/>
          <w:bCs/>
          <w:sz w:val="28"/>
          <w:szCs w:val="28"/>
        </w:rPr>
      </w:pPr>
      <w:r w:rsidRPr="00772AAE">
        <w:rPr>
          <w:rFonts w:ascii="FedEx Sans" w:hAnsi="FedEx Sans"/>
          <w:b/>
          <w:bCs/>
          <w:sz w:val="28"/>
          <w:szCs w:val="28"/>
        </w:rPr>
        <w:t>Who May File</w:t>
      </w:r>
    </w:p>
    <w:p w14:paraId="1EEC04B9" w14:textId="7C67D56C" w:rsidR="00772AAE" w:rsidRDefault="00772AAE" w:rsidP="00772AAE">
      <w:pPr>
        <w:spacing w:after="0" w:line="240" w:lineRule="auto"/>
        <w:rPr>
          <w:rFonts w:ascii="FedEx Sans" w:hAnsi="FedEx Sans"/>
        </w:rPr>
      </w:pPr>
      <w:r w:rsidRPr="00772AAE">
        <w:rPr>
          <w:rFonts w:ascii="FedEx Sans" w:hAnsi="FedEx Sans"/>
        </w:rPr>
        <w:t>Only the party directly paying the shipping charges to FedEx may file a claim to recover the</w:t>
      </w:r>
      <w:r w:rsidR="00612B6C">
        <w:rPr>
          <w:rFonts w:ascii="FedEx Sans" w:hAnsi="FedEx Sans"/>
        </w:rPr>
        <w:t xml:space="preserve"> </w:t>
      </w:r>
      <w:r w:rsidRPr="00772AAE">
        <w:rPr>
          <w:rFonts w:ascii="FedEx Sans" w:hAnsi="FedEx Sans"/>
        </w:rPr>
        <w:t>loss.</w:t>
      </w:r>
    </w:p>
    <w:p w14:paraId="685E0218" w14:textId="77777777" w:rsidR="00772AAE" w:rsidRPr="00772AAE" w:rsidRDefault="00772AAE" w:rsidP="00EE25F8">
      <w:pPr>
        <w:spacing w:after="120" w:line="240" w:lineRule="auto"/>
        <w:rPr>
          <w:rFonts w:ascii="FedEx Sans" w:hAnsi="FedEx Sans"/>
          <w:b/>
          <w:bCs/>
          <w:color w:val="A6A6A6" w:themeColor="background1" w:themeShade="A6"/>
        </w:rPr>
      </w:pPr>
      <w:r w:rsidRPr="00772AAE">
        <w:rPr>
          <w:rFonts w:ascii="FedEx Sans" w:hAnsi="FedEx Sans"/>
          <w:b/>
          <w:bCs/>
          <w:color w:val="A6A6A6" w:themeColor="background1" w:themeShade="A6"/>
        </w:rPr>
        <w:t>___________________________________________________________________________________________</w:t>
      </w:r>
    </w:p>
    <w:p w14:paraId="5F7DF46D" w14:textId="77777777" w:rsidR="00772AAE" w:rsidRPr="00772AAE" w:rsidRDefault="00772AAE" w:rsidP="00612B6C">
      <w:pPr>
        <w:spacing w:after="120" w:line="240" w:lineRule="auto"/>
        <w:rPr>
          <w:rFonts w:ascii="FedEx Sans" w:hAnsi="FedEx Sans"/>
          <w:b/>
          <w:bCs/>
          <w:sz w:val="28"/>
          <w:szCs w:val="28"/>
        </w:rPr>
      </w:pPr>
      <w:r w:rsidRPr="00772AAE">
        <w:rPr>
          <w:rFonts w:ascii="FedEx Sans" w:hAnsi="FedEx Sans"/>
          <w:b/>
          <w:bCs/>
          <w:sz w:val="28"/>
          <w:szCs w:val="28"/>
        </w:rPr>
        <w:t>Questions</w:t>
      </w:r>
    </w:p>
    <w:p w14:paraId="7E16D92A" w14:textId="4468121E" w:rsidR="00772AAE" w:rsidRPr="00772AAE" w:rsidRDefault="00772AAE" w:rsidP="00772AAE">
      <w:pPr>
        <w:spacing w:after="0" w:line="240" w:lineRule="auto"/>
        <w:rPr>
          <w:rFonts w:ascii="FedEx Sans" w:hAnsi="FedEx Sans"/>
        </w:rPr>
      </w:pPr>
      <w:r w:rsidRPr="00772AAE">
        <w:rPr>
          <w:rFonts w:ascii="FedEx Sans" w:hAnsi="FedEx Sans"/>
        </w:rPr>
        <w:t xml:space="preserve">Please direct any questions you have </w:t>
      </w:r>
      <w:r w:rsidR="0086123A" w:rsidRPr="00772AAE">
        <w:rPr>
          <w:rFonts w:ascii="FedEx Sans" w:hAnsi="FedEx Sans"/>
        </w:rPr>
        <w:t>about</w:t>
      </w:r>
      <w:r w:rsidRPr="00772AAE">
        <w:rPr>
          <w:rFonts w:ascii="FedEx Sans" w:hAnsi="FedEx Sans"/>
        </w:rPr>
        <w:t xml:space="preserve"> these guidelines to FedEx Ground Economy </w:t>
      </w:r>
    </w:p>
    <w:p w14:paraId="4D96276E" w14:textId="372EBD28" w:rsidR="00772AAE" w:rsidRDefault="00772AAE" w:rsidP="00772AAE">
      <w:pPr>
        <w:spacing w:after="0" w:line="240" w:lineRule="auto"/>
        <w:rPr>
          <w:rFonts w:ascii="FedEx Sans" w:hAnsi="FedEx Sans"/>
        </w:rPr>
      </w:pPr>
      <w:r w:rsidRPr="00772AAE">
        <w:rPr>
          <w:rFonts w:ascii="FedEx Sans" w:hAnsi="FedEx Sans"/>
        </w:rPr>
        <w:t>Customer</w:t>
      </w:r>
      <w:r w:rsidR="0017629B">
        <w:rPr>
          <w:rFonts w:ascii="FedEx Sans" w:hAnsi="FedEx Sans"/>
        </w:rPr>
        <w:t xml:space="preserve"> </w:t>
      </w:r>
      <w:r w:rsidRPr="00772AAE">
        <w:rPr>
          <w:rFonts w:ascii="FedEx Sans" w:hAnsi="FedEx Sans"/>
        </w:rPr>
        <w:t xml:space="preserve">Support at </w:t>
      </w:r>
      <w:hyperlink r:id="rId11" w:history="1">
        <w:r w:rsidR="0017629B" w:rsidRPr="00674064">
          <w:rPr>
            <w:rStyle w:val="Hyperlink"/>
            <w:rFonts w:ascii="FedEx Sans" w:hAnsi="FedEx Sans"/>
          </w:rPr>
          <w:t>FGEClaims@Fedex.com</w:t>
        </w:r>
      </w:hyperlink>
      <w:r w:rsidRPr="00772AAE">
        <w:rPr>
          <w:rFonts w:ascii="FedEx Sans" w:hAnsi="FedEx Sans"/>
        </w:rPr>
        <w:t>.</w:t>
      </w:r>
    </w:p>
    <w:p w14:paraId="329E6BF9" w14:textId="77777777" w:rsidR="0017629B" w:rsidRPr="00772AAE" w:rsidRDefault="0017629B" w:rsidP="00EE25F8">
      <w:pPr>
        <w:spacing w:after="120" w:line="240" w:lineRule="auto"/>
        <w:rPr>
          <w:rFonts w:ascii="FedEx Sans" w:hAnsi="FedEx Sans"/>
          <w:b/>
          <w:bCs/>
          <w:color w:val="A6A6A6" w:themeColor="background1" w:themeShade="A6"/>
        </w:rPr>
      </w:pPr>
      <w:r w:rsidRPr="00772AAE">
        <w:rPr>
          <w:rFonts w:ascii="FedEx Sans" w:hAnsi="FedEx Sans"/>
          <w:b/>
          <w:bCs/>
          <w:color w:val="A6A6A6" w:themeColor="background1" w:themeShade="A6"/>
        </w:rPr>
        <w:t>___________________________________________________________________________________________</w:t>
      </w:r>
    </w:p>
    <w:p w14:paraId="2C499F5B" w14:textId="1A6887CF" w:rsidR="00772AAE" w:rsidRPr="00772AAE" w:rsidRDefault="00772AAE" w:rsidP="00772AAE">
      <w:pPr>
        <w:spacing w:after="0" w:line="240" w:lineRule="auto"/>
        <w:rPr>
          <w:rFonts w:ascii="FedEx Sans" w:hAnsi="FedEx Sans"/>
        </w:rPr>
      </w:pPr>
      <w:r w:rsidRPr="00772AAE">
        <w:rPr>
          <w:rFonts w:ascii="FedEx Sans" w:hAnsi="FedEx Sans"/>
        </w:rPr>
        <w:t>This reference is a general guideline and does not supersede any rights or</w:t>
      </w:r>
      <w:r w:rsidR="0017629B">
        <w:rPr>
          <w:rFonts w:ascii="FedEx Sans" w:hAnsi="FedEx Sans"/>
        </w:rPr>
        <w:t xml:space="preserve"> </w:t>
      </w:r>
      <w:r w:rsidRPr="00772AAE">
        <w:rPr>
          <w:rFonts w:ascii="FedEx Sans" w:hAnsi="FedEx Sans"/>
        </w:rPr>
        <w:t>responsibilities listed in contract.</w:t>
      </w:r>
    </w:p>
    <w:sectPr w:rsidR="00772AAE" w:rsidRPr="00772AAE" w:rsidSect="00772AAE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92D40B" w14:textId="77777777" w:rsidR="0017629B" w:rsidRDefault="0017629B" w:rsidP="0017629B">
      <w:pPr>
        <w:spacing w:after="0" w:line="240" w:lineRule="auto"/>
      </w:pPr>
      <w:r>
        <w:separator/>
      </w:r>
    </w:p>
  </w:endnote>
  <w:endnote w:type="continuationSeparator" w:id="0">
    <w:p w14:paraId="62C27698" w14:textId="77777777" w:rsidR="0017629B" w:rsidRDefault="0017629B" w:rsidP="00176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edEx Sans">
    <w:panose1 w:val="020B0603020203020204"/>
    <w:charset w:val="00"/>
    <w:family w:val="swiss"/>
    <w:pitch w:val="variable"/>
    <w:sig w:usb0="A10002EF" w:usb1="4000005B" w:usb2="00000028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6C2AC" w14:textId="77777777" w:rsidR="0017629B" w:rsidRDefault="0017629B" w:rsidP="0017629B">
      <w:pPr>
        <w:spacing w:after="0" w:line="240" w:lineRule="auto"/>
      </w:pPr>
      <w:r>
        <w:separator/>
      </w:r>
    </w:p>
  </w:footnote>
  <w:footnote w:type="continuationSeparator" w:id="0">
    <w:p w14:paraId="1959C23B" w14:textId="77777777" w:rsidR="0017629B" w:rsidRDefault="0017629B" w:rsidP="00176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E4E75"/>
    <w:multiLevelType w:val="hybridMultilevel"/>
    <w:tmpl w:val="D1EA9D04"/>
    <w:lvl w:ilvl="0" w:tplc="7BF61FEA">
      <w:numFmt w:val="bullet"/>
      <w:lvlText w:val="•"/>
      <w:lvlJc w:val="left"/>
      <w:pPr>
        <w:ind w:left="720" w:hanging="360"/>
      </w:pPr>
      <w:rPr>
        <w:rFonts w:ascii="FedEx Sans" w:eastAsiaTheme="minorHAnsi" w:hAnsi="FedEx Sans" w:cs="FedEx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B15CB"/>
    <w:multiLevelType w:val="hybridMultilevel"/>
    <w:tmpl w:val="6336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934DB"/>
    <w:multiLevelType w:val="hybridMultilevel"/>
    <w:tmpl w:val="D2EEB042"/>
    <w:lvl w:ilvl="0" w:tplc="7BF61FEA">
      <w:numFmt w:val="bullet"/>
      <w:lvlText w:val="•"/>
      <w:lvlJc w:val="left"/>
      <w:pPr>
        <w:ind w:left="720" w:hanging="360"/>
      </w:pPr>
      <w:rPr>
        <w:rFonts w:ascii="FedEx Sans" w:eastAsiaTheme="minorHAnsi" w:hAnsi="FedEx Sans" w:cs="FedEx San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D6554"/>
    <w:multiLevelType w:val="hybridMultilevel"/>
    <w:tmpl w:val="4894D3E0"/>
    <w:lvl w:ilvl="0" w:tplc="7BF61FEA">
      <w:numFmt w:val="bullet"/>
      <w:lvlText w:val="•"/>
      <w:lvlJc w:val="left"/>
      <w:pPr>
        <w:ind w:left="1080" w:hanging="360"/>
      </w:pPr>
      <w:rPr>
        <w:rFonts w:ascii="FedEx Sans" w:eastAsiaTheme="minorHAnsi" w:hAnsi="FedEx Sans" w:cs="FedEx San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6568561">
    <w:abstractNumId w:val="1"/>
  </w:num>
  <w:num w:numId="2" w16cid:durableId="635378230">
    <w:abstractNumId w:val="0"/>
  </w:num>
  <w:num w:numId="3" w16cid:durableId="1326712566">
    <w:abstractNumId w:val="3"/>
  </w:num>
  <w:num w:numId="4" w16cid:durableId="12408730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AAE"/>
    <w:rsid w:val="0004512E"/>
    <w:rsid w:val="0017629B"/>
    <w:rsid w:val="001E2B61"/>
    <w:rsid w:val="00400D69"/>
    <w:rsid w:val="005937F7"/>
    <w:rsid w:val="00612B6C"/>
    <w:rsid w:val="00772AAE"/>
    <w:rsid w:val="008039B7"/>
    <w:rsid w:val="0086123A"/>
    <w:rsid w:val="008D2148"/>
    <w:rsid w:val="009B6CEC"/>
    <w:rsid w:val="00CD2198"/>
    <w:rsid w:val="00D03CA8"/>
    <w:rsid w:val="00DC027E"/>
    <w:rsid w:val="00EE25F8"/>
    <w:rsid w:val="00F5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50240AA"/>
  <w15:chartTrackingRefBased/>
  <w15:docId w15:val="{418DD371-CBC9-44BC-96C6-2995D4EE7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A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2A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62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62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dex.com/content/dam/fedex-com/hdn/FedExGroundEconomy_SingleandBulkClaimsForm_Template.xls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GEClaims@Fedex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GEClaims@FedEx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dex.com/content/dam/fedex-com/hdn/FedEx_Ground_Economy_Claims_Help_Guid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F61F0-E020-4570-A4D4-54B67149B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FedEx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Witlacil</dc:creator>
  <cp:keywords/>
  <dc:description/>
  <cp:lastModifiedBy>Maddie Boyles</cp:lastModifiedBy>
  <cp:revision>2</cp:revision>
  <dcterms:created xsi:type="dcterms:W3CDTF">2024-07-02T19:17:00Z</dcterms:created>
  <dcterms:modified xsi:type="dcterms:W3CDTF">2024-07-02T19:17:00Z</dcterms:modified>
</cp:coreProperties>
</file>